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textAlignment w:val="baseline"/>
        <w:rPr>
          <w:rFonts w:ascii="微软雅黑" w:hAnsi="微软雅黑" w:eastAsia="微软雅黑" w:cs="微软雅黑"/>
          <w:i w:val="0"/>
          <w:iCs w:val="0"/>
          <w:caps w:val="0"/>
          <w:color w:val="646464"/>
          <w:spacing w:val="0"/>
          <w:sz w:val="27"/>
          <w:szCs w:val="27"/>
        </w:rPr>
      </w:pPr>
      <w:r>
        <w:rPr>
          <w:rFonts w:hint="eastAsia" w:ascii="微软雅黑" w:hAnsi="微软雅黑" w:eastAsia="微软雅黑" w:cs="微软雅黑"/>
          <w:i w:val="0"/>
          <w:iCs w:val="0"/>
          <w:caps w:val="0"/>
          <w:color w:val="646464"/>
          <w:spacing w:val="0"/>
          <w:sz w:val="27"/>
          <w:szCs w:val="27"/>
          <w:bdr w:val="none" w:color="auto" w:sz="0" w:space="0"/>
          <w:shd w:val="clear" w:fill="FFFFFF"/>
          <w:vertAlign w:val="baseline"/>
        </w:rPr>
        <w:t>【药品名称】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textAlignment w:val="baseline"/>
        <w:rPr>
          <w:rFonts w:hint="eastAsia" w:ascii="微软雅黑" w:hAnsi="微软雅黑" w:eastAsia="微软雅黑" w:cs="微软雅黑"/>
          <w:i w:val="0"/>
          <w:iCs w:val="0"/>
          <w:caps w:val="0"/>
          <w:color w:val="646464"/>
          <w:spacing w:val="0"/>
          <w:sz w:val="27"/>
          <w:szCs w:val="27"/>
        </w:rPr>
      </w:pPr>
      <w:r>
        <w:rPr>
          <w:rFonts w:hint="eastAsia" w:ascii="微软雅黑" w:hAnsi="微软雅黑" w:eastAsia="微软雅黑" w:cs="微软雅黑"/>
          <w:i w:val="0"/>
          <w:iCs w:val="0"/>
          <w:caps w:val="0"/>
          <w:color w:val="646464"/>
          <w:spacing w:val="0"/>
          <w:sz w:val="27"/>
          <w:szCs w:val="27"/>
          <w:bdr w:val="none" w:color="auto" w:sz="0" w:space="0"/>
          <w:shd w:val="clear" w:fill="FFFFFF"/>
          <w:vertAlign w:val="baseline"/>
        </w:rPr>
        <w:t>　　通用名称：人血白蛋白静脉输注溶液</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textAlignment w:val="baseline"/>
        <w:rPr>
          <w:rFonts w:hint="eastAsia" w:ascii="微软雅黑" w:hAnsi="微软雅黑" w:eastAsia="微软雅黑" w:cs="微软雅黑"/>
          <w:i w:val="0"/>
          <w:iCs w:val="0"/>
          <w:caps w:val="0"/>
          <w:color w:val="646464"/>
          <w:spacing w:val="0"/>
          <w:sz w:val="27"/>
          <w:szCs w:val="27"/>
        </w:rPr>
      </w:pPr>
      <w:r>
        <w:rPr>
          <w:rFonts w:hint="eastAsia" w:ascii="微软雅黑" w:hAnsi="微软雅黑" w:eastAsia="微软雅黑" w:cs="微软雅黑"/>
          <w:i w:val="0"/>
          <w:iCs w:val="0"/>
          <w:caps w:val="0"/>
          <w:color w:val="646464"/>
          <w:spacing w:val="0"/>
          <w:sz w:val="27"/>
          <w:szCs w:val="27"/>
          <w:bdr w:val="none" w:color="auto" w:sz="0" w:space="0"/>
          <w:shd w:val="clear" w:fill="FFFFFF"/>
          <w:vertAlign w:val="baseline"/>
        </w:rPr>
        <w:t>　　英文名称：HumanAlbumin</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textAlignment w:val="baseline"/>
        <w:rPr>
          <w:rFonts w:hint="eastAsia" w:ascii="微软雅黑" w:hAnsi="微软雅黑" w:eastAsia="微软雅黑" w:cs="微软雅黑"/>
          <w:i w:val="0"/>
          <w:iCs w:val="0"/>
          <w:caps w:val="0"/>
          <w:color w:val="646464"/>
          <w:spacing w:val="0"/>
          <w:sz w:val="27"/>
          <w:szCs w:val="27"/>
        </w:rPr>
      </w:pPr>
      <w:r>
        <w:rPr>
          <w:rFonts w:hint="eastAsia" w:ascii="微软雅黑" w:hAnsi="微软雅黑" w:eastAsia="微软雅黑" w:cs="微软雅黑"/>
          <w:i w:val="0"/>
          <w:iCs w:val="0"/>
          <w:caps w:val="0"/>
          <w:color w:val="646464"/>
          <w:spacing w:val="0"/>
          <w:sz w:val="27"/>
          <w:szCs w:val="27"/>
          <w:bdr w:val="none" w:color="auto" w:sz="0" w:space="0"/>
          <w:shd w:val="clear" w:fill="FFFFFF"/>
          <w:vertAlign w:val="baseline"/>
        </w:rPr>
        <w:t>　　汉语拼音：RenXueBaidanbaiJingmaiShuzhuRongye</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textAlignment w:val="baseline"/>
        <w:rPr>
          <w:rFonts w:hint="eastAsia" w:ascii="微软雅黑" w:hAnsi="微软雅黑" w:eastAsia="微软雅黑" w:cs="微软雅黑"/>
          <w:i w:val="0"/>
          <w:iCs w:val="0"/>
          <w:caps w:val="0"/>
          <w:color w:val="646464"/>
          <w:spacing w:val="0"/>
          <w:sz w:val="27"/>
          <w:szCs w:val="27"/>
        </w:rPr>
      </w:pPr>
      <w:r>
        <w:rPr>
          <w:rFonts w:hint="eastAsia" w:ascii="微软雅黑" w:hAnsi="微软雅黑" w:eastAsia="微软雅黑" w:cs="微软雅黑"/>
          <w:i w:val="0"/>
          <w:iCs w:val="0"/>
          <w:caps w:val="0"/>
          <w:color w:val="646464"/>
          <w:spacing w:val="0"/>
          <w:sz w:val="27"/>
          <w:szCs w:val="27"/>
          <w:bdr w:val="none" w:color="auto" w:sz="0" w:space="0"/>
          <w:shd w:val="clear" w:fill="FFFFFF"/>
          <w:vertAlign w:val="baseline"/>
        </w:rPr>
        <w:t>　　【成份】主要组成成份：人血白蛋白。本品来源于健康人血浆，经两次60℃，10小时加热灭活病毒处理。辅料：辛酸钠，乙酰色氨酸</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textAlignment w:val="baseline"/>
        <w:rPr>
          <w:rFonts w:hint="eastAsia" w:ascii="微软雅黑" w:hAnsi="微软雅黑" w:eastAsia="微软雅黑" w:cs="微软雅黑"/>
          <w:i w:val="0"/>
          <w:iCs w:val="0"/>
          <w:caps w:val="0"/>
          <w:color w:val="646464"/>
          <w:spacing w:val="0"/>
          <w:sz w:val="27"/>
          <w:szCs w:val="27"/>
        </w:rPr>
      </w:pPr>
      <w:r>
        <w:rPr>
          <w:rFonts w:hint="eastAsia" w:ascii="微软雅黑" w:hAnsi="微软雅黑" w:eastAsia="微软雅黑" w:cs="微软雅黑"/>
          <w:i w:val="0"/>
          <w:iCs w:val="0"/>
          <w:caps w:val="0"/>
          <w:color w:val="646464"/>
          <w:spacing w:val="0"/>
          <w:sz w:val="27"/>
          <w:szCs w:val="27"/>
          <w:bdr w:val="none" w:color="auto" w:sz="0" w:space="0"/>
          <w:shd w:val="clear" w:fill="FFFFFF"/>
          <w:vertAlign w:val="baseline"/>
        </w:rPr>
        <w:t>　　【性状】略黏稠，黄色或绿色至棕色澄明液体，不应出现浑浊。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textAlignment w:val="baseline"/>
        <w:rPr>
          <w:rFonts w:hint="eastAsia" w:ascii="微软雅黑" w:hAnsi="微软雅黑" w:eastAsia="微软雅黑" w:cs="微软雅黑"/>
          <w:i w:val="0"/>
          <w:iCs w:val="0"/>
          <w:caps w:val="0"/>
          <w:color w:val="646464"/>
          <w:spacing w:val="0"/>
          <w:sz w:val="27"/>
          <w:szCs w:val="27"/>
        </w:rPr>
      </w:pPr>
      <w:r>
        <w:rPr>
          <w:rFonts w:hint="eastAsia" w:ascii="微软雅黑" w:hAnsi="微软雅黑" w:eastAsia="微软雅黑" w:cs="微软雅黑"/>
          <w:i w:val="0"/>
          <w:iCs w:val="0"/>
          <w:caps w:val="0"/>
          <w:color w:val="646464"/>
          <w:spacing w:val="0"/>
          <w:sz w:val="27"/>
          <w:szCs w:val="27"/>
          <w:bdr w:val="none" w:color="auto" w:sz="0" w:space="0"/>
          <w:shd w:val="clear" w:fill="FFFFFF"/>
          <w:vertAlign w:val="baseline"/>
        </w:rPr>
        <w:t>　　【适 应 症】休克—亚玛可以用在烧伤、外伤、手术和感染引起的休克的紧急治疗上，可以用在尽管休克没有立刻发生，但有可能稍后发生的一些创伤治疗上，以及其他类似需要紧急恢复血容量的情况下。如果存在大量红细胞丢失的情况，则应与浓缩红细胞联合输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textAlignment w:val="baseline"/>
        <w:rPr>
          <w:rFonts w:hint="eastAsia" w:ascii="微软雅黑" w:hAnsi="微软雅黑" w:eastAsia="微软雅黑" w:cs="微软雅黑"/>
          <w:i w:val="0"/>
          <w:iCs w:val="0"/>
          <w:caps w:val="0"/>
          <w:color w:val="646464"/>
          <w:spacing w:val="0"/>
          <w:sz w:val="27"/>
          <w:szCs w:val="27"/>
        </w:rPr>
      </w:pPr>
      <w:r>
        <w:rPr>
          <w:rFonts w:hint="eastAsia" w:ascii="微软雅黑" w:hAnsi="微软雅黑" w:eastAsia="微软雅黑" w:cs="微软雅黑"/>
          <w:i w:val="0"/>
          <w:iCs w:val="0"/>
          <w:caps w:val="0"/>
          <w:color w:val="646464"/>
          <w:spacing w:val="0"/>
          <w:sz w:val="27"/>
          <w:szCs w:val="27"/>
          <w:bdr w:val="none" w:color="auto" w:sz="0" w:space="0"/>
          <w:shd w:val="clear" w:fill="FFFFFF"/>
          <w:vertAlign w:val="baseline"/>
        </w:rPr>
        <w:t>　　烧伤—亚玛应与足量的晶体溶液联合输入以及对抗严重烧伤时通常随后发生的血液浓缩以及蛋白质、电解质和水分的丢失。由于通透性的变化，在严重烧伤输入白蛋白后的前12个小时内白蛋白能够保留在静脉中的可能性很小。但是，使用胶体、电解质和水治疗烧伤的理想方案到目前尚未确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textAlignment w:val="baseline"/>
        <w:rPr>
          <w:rFonts w:hint="eastAsia" w:ascii="微软雅黑" w:hAnsi="微软雅黑" w:eastAsia="微软雅黑" w:cs="微软雅黑"/>
          <w:i w:val="0"/>
          <w:iCs w:val="0"/>
          <w:caps w:val="0"/>
          <w:color w:val="646464"/>
          <w:spacing w:val="0"/>
          <w:sz w:val="27"/>
          <w:szCs w:val="27"/>
        </w:rPr>
      </w:pPr>
      <w:r>
        <w:rPr>
          <w:rFonts w:hint="eastAsia" w:ascii="微软雅黑" w:hAnsi="微软雅黑" w:eastAsia="微软雅黑" w:cs="微软雅黑"/>
          <w:i w:val="0"/>
          <w:iCs w:val="0"/>
          <w:caps w:val="0"/>
          <w:color w:val="646464"/>
          <w:spacing w:val="0"/>
          <w:sz w:val="27"/>
          <w:szCs w:val="27"/>
          <w:bdr w:val="none" w:color="auto" w:sz="0" w:space="0"/>
          <w:shd w:val="clear" w:fill="FFFFFF"/>
          <w:vertAlign w:val="baseline"/>
        </w:rPr>
        <w:t>　　低蛋白血症——亚玛可以用于急性低蛋白血症病人的治疗，无论存在或者不存在水肿均可使用。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textAlignment w:val="baseline"/>
        <w:rPr>
          <w:rFonts w:hint="eastAsia" w:ascii="微软雅黑" w:hAnsi="微软雅黑" w:eastAsia="微软雅黑" w:cs="微软雅黑"/>
          <w:i w:val="0"/>
          <w:iCs w:val="0"/>
          <w:caps w:val="0"/>
          <w:color w:val="646464"/>
          <w:spacing w:val="0"/>
          <w:sz w:val="27"/>
          <w:szCs w:val="27"/>
        </w:rPr>
      </w:pPr>
      <w:r>
        <w:rPr>
          <w:rFonts w:hint="eastAsia" w:ascii="微软雅黑" w:hAnsi="微软雅黑" w:eastAsia="微软雅黑" w:cs="微软雅黑"/>
          <w:i w:val="0"/>
          <w:iCs w:val="0"/>
          <w:caps w:val="0"/>
          <w:color w:val="646464"/>
          <w:spacing w:val="0"/>
          <w:sz w:val="27"/>
          <w:szCs w:val="27"/>
          <w:bdr w:val="none" w:color="auto" w:sz="0" w:space="0"/>
          <w:shd w:val="clear" w:fill="FFFFFF"/>
          <w:vertAlign w:val="baseline"/>
        </w:rPr>
        <w:t>　　【规格】10g(20%，50ml)*1瓶/盒</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textAlignment w:val="baseline"/>
        <w:rPr>
          <w:rFonts w:hint="eastAsia" w:ascii="微软雅黑" w:hAnsi="微软雅黑" w:eastAsia="微软雅黑" w:cs="微软雅黑"/>
          <w:i w:val="0"/>
          <w:iCs w:val="0"/>
          <w:caps w:val="0"/>
          <w:color w:val="646464"/>
          <w:spacing w:val="0"/>
          <w:sz w:val="27"/>
          <w:szCs w:val="27"/>
        </w:rPr>
      </w:pPr>
      <w:r>
        <w:rPr>
          <w:rFonts w:hint="eastAsia" w:ascii="微软雅黑" w:hAnsi="微软雅黑" w:eastAsia="微软雅黑" w:cs="微软雅黑"/>
          <w:i w:val="0"/>
          <w:iCs w:val="0"/>
          <w:caps w:val="0"/>
          <w:color w:val="646464"/>
          <w:spacing w:val="0"/>
          <w:sz w:val="27"/>
          <w:szCs w:val="27"/>
          <w:bdr w:val="none" w:color="auto" w:sz="0" w:space="0"/>
          <w:shd w:val="clear" w:fill="FFFFFF"/>
          <w:vertAlign w:val="baseline"/>
        </w:rPr>
        <w:t>　　【用法用量】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textAlignment w:val="baseline"/>
        <w:rPr>
          <w:rFonts w:hint="eastAsia" w:ascii="微软雅黑" w:hAnsi="微软雅黑" w:eastAsia="微软雅黑" w:cs="微软雅黑"/>
          <w:i w:val="0"/>
          <w:iCs w:val="0"/>
          <w:caps w:val="0"/>
          <w:color w:val="646464"/>
          <w:spacing w:val="0"/>
          <w:sz w:val="27"/>
          <w:szCs w:val="27"/>
        </w:rPr>
      </w:pPr>
      <w:r>
        <w:rPr>
          <w:rFonts w:hint="eastAsia" w:ascii="微软雅黑" w:hAnsi="微软雅黑" w:eastAsia="微软雅黑" w:cs="微软雅黑"/>
          <w:i w:val="0"/>
          <w:iCs w:val="0"/>
          <w:caps w:val="0"/>
          <w:color w:val="646464"/>
          <w:spacing w:val="0"/>
          <w:sz w:val="27"/>
          <w:szCs w:val="27"/>
          <w:bdr w:val="none" w:color="auto" w:sz="0" w:space="0"/>
          <w:shd w:val="clear" w:fill="FFFFFF"/>
          <w:vertAlign w:val="baseline"/>
        </w:rPr>
        <w:t>　　用法：一般采用静脉滴注或静脉推注。为防止大量注射时机体组织脱水，可采用5%葡萄糖注射液或氯化钠注射液适当稀释作静脉滴注(宜用备有滤网装置的输血器)。滴注速度应以每分钟不超过2ml为宜，但在开始15分钟内，应特别注意速度缓慢，逐渐加速至上述速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textAlignment w:val="baseline"/>
        <w:rPr>
          <w:rFonts w:hint="eastAsia" w:ascii="微软雅黑" w:hAnsi="微软雅黑" w:eastAsia="微软雅黑" w:cs="微软雅黑"/>
          <w:i w:val="0"/>
          <w:iCs w:val="0"/>
          <w:caps w:val="0"/>
          <w:color w:val="646464"/>
          <w:spacing w:val="0"/>
          <w:sz w:val="27"/>
          <w:szCs w:val="27"/>
        </w:rPr>
      </w:pPr>
      <w:r>
        <w:rPr>
          <w:rFonts w:hint="eastAsia" w:ascii="微软雅黑" w:hAnsi="微软雅黑" w:eastAsia="微软雅黑" w:cs="微软雅黑"/>
          <w:i w:val="0"/>
          <w:iCs w:val="0"/>
          <w:caps w:val="0"/>
          <w:color w:val="646464"/>
          <w:spacing w:val="0"/>
          <w:sz w:val="27"/>
          <w:szCs w:val="27"/>
          <w:bdr w:val="none" w:color="auto" w:sz="0" w:space="0"/>
          <w:shd w:val="clear" w:fill="FFFFFF"/>
          <w:vertAlign w:val="baseline"/>
        </w:rPr>
        <w:t>　　用量：使用剂量由医师酌情考虑，一般因严重烧伤或失血等所致休克，可直接注射本品5～10g，隔4～6小时重复注射1次。在治疗肾病及肝硬化等慢性白蛋白缺乏症时，可每日注射本品5～10g，直至水肿消失，血清白蛋白含量恢复正常为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textAlignment w:val="baseline"/>
        <w:rPr>
          <w:rFonts w:hint="eastAsia" w:ascii="微软雅黑" w:hAnsi="微软雅黑" w:eastAsia="微软雅黑" w:cs="微软雅黑"/>
          <w:i w:val="0"/>
          <w:iCs w:val="0"/>
          <w:caps w:val="0"/>
          <w:color w:val="646464"/>
          <w:spacing w:val="0"/>
          <w:sz w:val="27"/>
          <w:szCs w:val="27"/>
        </w:rPr>
      </w:pPr>
      <w:r>
        <w:rPr>
          <w:rFonts w:hint="eastAsia" w:ascii="微软雅黑" w:hAnsi="微软雅黑" w:eastAsia="微软雅黑" w:cs="微软雅黑"/>
          <w:i w:val="0"/>
          <w:iCs w:val="0"/>
          <w:caps w:val="0"/>
          <w:color w:val="646464"/>
          <w:spacing w:val="0"/>
          <w:sz w:val="27"/>
          <w:szCs w:val="27"/>
          <w:bdr w:val="none" w:color="auto" w:sz="0" w:space="0"/>
          <w:shd w:val="clear" w:fill="FFFFFF"/>
          <w:vertAlign w:val="baseline"/>
        </w:rPr>
        <w:t>　　【不良反应】使用本品一般不会产生不良反应，偶可出现寒颤、发热、颜面潮红、皮疹、恶心呕吐等症状，快速输注可引起血管超负荷导致肺水肿，偶有过敏反应。</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textAlignment w:val="baseline"/>
        <w:rPr>
          <w:rFonts w:hint="eastAsia" w:ascii="微软雅黑" w:hAnsi="微软雅黑" w:eastAsia="微软雅黑" w:cs="微软雅黑"/>
          <w:i w:val="0"/>
          <w:iCs w:val="0"/>
          <w:caps w:val="0"/>
          <w:color w:val="646464"/>
          <w:spacing w:val="0"/>
          <w:sz w:val="27"/>
          <w:szCs w:val="27"/>
        </w:rPr>
      </w:pPr>
      <w:r>
        <w:rPr>
          <w:rFonts w:hint="eastAsia" w:ascii="微软雅黑" w:hAnsi="微软雅黑" w:eastAsia="微软雅黑" w:cs="微软雅黑"/>
          <w:i w:val="0"/>
          <w:iCs w:val="0"/>
          <w:caps w:val="0"/>
          <w:color w:val="646464"/>
          <w:spacing w:val="0"/>
          <w:sz w:val="27"/>
          <w:szCs w:val="27"/>
          <w:bdr w:val="none" w:color="auto" w:sz="0" w:space="0"/>
          <w:shd w:val="clear" w:fill="FFFFFF"/>
          <w:vertAlign w:val="baseline"/>
        </w:rPr>
        <w:t>　　【禁忌】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textAlignment w:val="baseline"/>
        <w:rPr>
          <w:rFonts w:hint="eastAsia" w:ascii="微软雅黑" w:hAnsi="微软雅黑" w:eastAsia="微软雅黑" w:cs="微软雅黑"/>
          <w:i w:val="0"/>
          <w:iCs w:val="0"/>
          <w:caps w:val="0"/>
          <w:color w:val="646464"/>
          <w:spacing w:val="0"/>
          <w:sz w:val="27"/>
          <w:szCs w:val="27"/>
        </w:rPr>
      </w:pPr>
      <w:r>
        <w:rPr>
          <w:rFonts w:hint="eastAsia" w:ascii="微软雅黑" w:hAnsi="微软雅黑" w:eastAsia="微软雅黑" w:cs="微软雅黑"/>
          <w:i w:val="0"/>
          <w:iCs w:val="0"/>
          <w:caps w:val="0"/>
          <w:color w:val="646464"/>
          <w:spacing w:val="0"/>
          <w:sz w:val="27"/>
          <w:szCs w:val="27"/>
          <w:bdr w:val="none" w:color="auto" w:sz="0" w:space="0"/>
          <w:shd w:val="clear" w:fill="FFFFFF"/>
          <w:vertAlign w:val="baseline"/>
        </w:rPr>
        <w:t>　　1.对白蛋白有严重过敏者。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textAlignment w:val="baseline"/>
        <w:rPr>
          <w:rFonts w:hint="eastAsia" w:ascii="微软雅黑" w:hAnsi="微软雅黑" w:eastAsia="微软雅黑" w:cs="微软雅黑"/>
          <w:i w:val="0"/>
          <w:iCs w:val="0"/>
          <w:caps w:val="0"/>
          <w:color w:val="646464"/>
          <w:spacing w:val="0"/>
          <w:sz w:val="27"/>
          <w:szCs w:val="27"/>
        </w:rPr>
      </w:pPr>
      <w:r>
        <w:rPr>
          <w:rFonts w:hint="eastAsia" w:ascii="微软雅黑" w:hAnsi="微软雅黑" w:eastAsia="微软雅黑" w:cs="微软雅黑"/>
          <w:i w:val="0"/>
          <w:iCs w:val="0"/>
          <w:caps w:val="0"/>
          <w:color w:val="646464"/>
          <w:spacing w:val="0"/>
          <w:sz w:val="27"/>
          <w:szCs w:val="27"/>
          <w:bdr w:val="none" w:color="auto" w:sz="0" w:space="0"/>
          <w:shd w:val="clear" w:fill="FFFFFF"/>
          <w:vertAlign w:val="baseline"/>
        </w:rPr>
        <w:t>　　2.高血压患者，急性心脏病者、正常血容量及高血容量的心力衰竭患者。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textAlignment w:val="baseline"/>
        <w:rPr>
          <w:rFonts w:hint="eastAsia" w:ascii="微软雅黑" w:hAnsi="微软雅黑" w:eastAsia="微软雅黑" w:cs="微软雅黑"/>
          <w:i w:val="0"/>
          <w:iCs w:val="0"/>
          <w:caps w:val="0"/>
          <w:color w:val="646464"/>
          <w:spacing w:val="0"/>
          <w:sz w:val="27"/>
          <w:szCs w:val="27"/>
        </w:rPr>
      </w:pPr>
      <w:r>
        <w:rPr>
          <w:rFonts w:hint="eastAsia" w:ascii="微软雅黑" w:hAnsi="微软雅黑" w:eastAsia="微软雅黑" w:cs="微软雅黑"/>
          <w:i w:val="0"/>
          <w:iCs w:val="0"/>
          <w:caps w:val="0"/>
          <w:color w:val="646464"/>
          <w:spacing w:val="0"/>
          <w:sz w:val="27"/>
          <w:szCs w:val="27"/>
          <w:bdr w:val="none" w:color="auto" w:sz="0" w:space="0"/>
          <w:shd w:val="clear" w:fill="FFFFFF"/>
          <w:vertAlign w:val="baseline"/>
        </w:rPr>
        <w:t>　　3.严重贫血患者。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textAlignment w:val="baseline"/>
        <w:rPr>
          <w:rFonts w:hint="eastAsia" w:ascii="微软雅黑" w:hAnsi="微软雅黑" w:eastAsia="微软雅黑" w:cs="微软雅黑"/>
          <w:i w:val="0"/>
          <w:iCs w:val="0"/>
          <w:caps w:val="0"/>
          <w:color w:val="646464"/>
          <w:spacing w:val="0"/>
          <w:sz w:val="27"/>
          <w:szCs w:val="27"/>
        </w:rPr>
      </w:pPr>
      <w:r>
        <w:rPr>
          <w:rFonts w:hint="eastAsia" w:ascii="微软雅黑" w:hAnsi="微软雅黑" w:eastAsia="微软雅黑" w:cs="微软雅黑"/>
          <w:i w:val="0"/>
          <w:iCs w:val="0"/>
          <w:caps w:val="0"/>
          <w:color w:val="646464"/>
          <w:spacing w:val="0"/>
          <w:sz w:val="27"/>
          <w:szCs w:val="27"/>
          <w:bdr w:val="none" w:color="auto" w:sz="0" w:space="0"/>
          <w:shd w:val="clear" w:fill="FFFFFF"/>
          <w:vertAlign w:val="baseline"/>
        </w:rPr>
        <w:t>　　4.肾功能不全者。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textAlignment w:val="baseline"/>
        <w:rPr>
          <w:rFonts w:hint="eastAsia" w:ascii="微软雅黑" w:hAnsi="微软雅黑" w:eastAsia="微软雅黑" w:cs="微软雅黑"/>
          <w:i w:val="0"/>
          <w:iCs w:val="0"/>
          <w:caps w:val="0"/>
          <w:color w:val="646464"/>
          <w:spacing w:val="0"/>
          <w:sz w:val="27"/>
          <w:szCs w:val="27"/>
        </w:rPr>
      </w:pPr>
      <w:r>
        <w:rPr>
          <w:rFonts w:hint="eastAsia" w:ascii="微软雅黑" w:hAnsi="微软雅黑" w:eastAsia="微软雅黑" w:cs="微软雅黑"/>
          <w:i w:val="0"/>
          <w:iCs w:val="0"/>
          <w:caps w:val="0"/>
          <w:color w:val="646464"/>
          <w:spacing w:val="0"/>
          <w:sz w:val="27"/>
          <w:szCs w:val="27"/>
          <w:bdr w:val="none" w:color="auto" w:sz="0" w:space="0"/>
          <w:shd w:val="clear" w:fill="FFFFFF"/>
          <w:vertAlign w:val="baseline"/>
        </w:rPr>
        <w:t>　　【注意事项】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textAlignment w:val="baseline"/>
        <w:rPr>
          <w:rFonts w:hint="eastAsia" w:ascii="微软雅黑" w:hAnsi="微软雅黑" w:eastAsia="微软雅黑" w:cs="微软雅黑"/>
          <w:i w:val="0"/>
          <w:iCs w:val="0"/>
          <w:caps w:val="0"/>
          <w:color w:val="646464"/>
          <w:spacing w:val="0"/>
          <w:sz w:val="27"/>
          <w:szCs w:val="27"/>
        </w:rPr>
      </w:pPr>
      <w:r>
        <w:rPr>
          <w:rFonts w:hint="eastAsia" w:ascii="微软雅黑" w:hAnsi="微软雅黑" w:eastAsia="微软雅黑" w:cs="微软雅黑"/>
          <w:i w:val="0"/>
          <w:iCs w:val="0"/>
          <w:caps w:val="0"/>
          <w:color w:val="646464"/>
          <w:spacing w:val="0"/>
          <w:sz w:val="27"/>
          <w:szCs w:val="27"/>
          <w:bdr w:val="none" w:color="auto" w:sz="0" w:space="0"/>
          <w:shd w:val="clear" w:fill="FFFFFF"/>
          <w:vertAlign w:val="baseline"/>
        </w:rPr>
        <w:t>　　一般注意事项:如果病人存在脱水情况，那么，在给予办单板的同事或继后必须补充其他额外液体。大剂量使用时，应输入红细胞或全血以避免白蛋白输入后引起的相对贫血。在创伤病人输入白蛋白后血压迅速回升时，应检查有无点状出血。心功能储备不足或白蛋白缺乏的病人慎用亚玛，因为血浆容积迅速增加可能导致循环系统的窘迫(例如高血压、低血压或者肺水肿)。在高血压存在的情况下，宜放缓输入速度-200ml的白蛋白溶液可与200ml10%的葡萄糖溶液混合，并以每小时10g(100ml)白蛋白的速率输液。</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textAlignment w:val="baseline"/>
        <w:rPr>
          <w:rFonts w:hint="eastAsia" w:ascii="微软雅黑" w:hAnsi="微软雅黑" w:eastAsia="微软雅黑" w:cs="微软雅黑"/>
          <w:i w:val="0"/>
          <w:iCs w:val="0"/>
          <w:caps w:val="0"/>
          <w:color w:val="646464"/>
          <w:spacing w:val="0"/>
          <w:sz w:val="27"/>
          <w:szCs w:val="27"/>
        </w:rPr>
      </w:pPr>
      <w:r>
        <w:rPr>
          <w:rFonts w:hint="eastAsia" w:ascii="微软雅黑" w:hAnsi="微软雅黑" w:eastAsia="微软雅黑" w:cs="微软雅黑"/>
          <w:i w:val="0"/>
          <w:iCs w:val="0"/>
          <w:caps w:val="0"/>
          <w:color w:val="646464"/>
          <w:spacing w:val="0"/>
          <w:sz w:val="27"/>
          <w:szCs w:val="27"/>
          <w:bdr w:val="none" w:color="auto" w:sz="0" w:space="0"/>
          <w:shd w:val="clear" w:fill="FFFFFF"/>
          <w:vertAlign w:val="baseline"/>
        </w:rPr>
        <w:t>　　如果出现过敏性反应或严重的过敏样反应，则应立即停止输液。在输液过程中应密切注意输液速率和病人的临床状态。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textAlignment w:val="baseline"/>
        <w:rPr>
          <w:rFonts w:hint="eastAsia" w:ascii="微软雅黑" w:hAnsi="微软雅黑" w:eastAsia="微软雅黑" w:cs="微软雅黑"/>
          <w:i w:val="0"/>
          <w:iCs w:val="0"/>
          <w:caps w:val="0"/>
          <w:color w:val="646464"/>
          <w:spacing w:val="0"/>
          <w:sz w:val="27"/>
          <w:szCs w:val="27"/>
        </w:rPr>
      </w:pPr>
      <w:r>
        <w:rPr>
          <w:rFonts w:hint="eastAsia" w:ascii="微软雅黑" w:hAnsi="微软雅黑" w:eastAsia="微软雅黑" w:cs="微软雅黑"/>
          <w:i w:val="0"/>
          <w:iCs w:val="0"/>
          <w:caps w:val="0"/>
          <w:color w:val="646464"/>
          <w:spacing w:val="0"/>
          <w:sz w:val="27"/>
          <w:szCs w:val="27"/>
          <w:bdr w:val="none" w:color="auto" w:sz="0" w:space="0"/>
          <w:shd w:val="clear" w:fill="FFFFFF"/>
          <w:vertAlign w:val="baseline"/>
        </w:rPr>
        <w:t>　　为病人提供的资料—某些病毒，例如微小病毒B19货甲肝病毒在目前还非常难以去除或者灭活。微小病毒B19对孕妇或有免疫损伤的病人可能造成严重后果。大部分的微小病毒B19和甲肝病毒感染是通过环境因素传染的(人群传染)</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textAlignment w:val="baseline"/>
        <w:rPr>
          <w:rFonts w:hint="eastAsia" w:ascii="微软雅黑" w:hAnsi="微软雅黑" w:eastAsia="微软雅黑" w:cs="微软雅黑"/>
          <w:i w:val="0"/>
          <w:iCs w:val="0"/>
          <w:caps w:val="0"/>
          <w:color w:val="646464"/>
          <w:spacing w:val="0"/>
          <w:sz w:val="27"/>
          <w:szCs w:val="27"/>
        </w:rPr>
      </w:pPr>
      <w:r>
        <w:rPr>
          <w:rFonts w:hint="eastAsia" w:ascii="微软雅黑" w:hAnsi="微软雅黑" w:eastAsia="微软雅黑" w:cs="微软雅黑"/>
          <w:i w:val="0"/>
          <w:iCs w:val="0"/>
          <w:caps w:val="0"/>
          <w:color w:val="646464"/>
          <w:spacing w:val="0"/>
          <w:sz w:val="27"/>
          <w:szCs w:val="27"/>
          <w:bdr w:val="none" w:color="auto" w:sz="0" w:space="0"/>
          <w:shd w:val="clear" w:fill="FFFFFF"/>
          <w:vertAlign w:val="baseline"/>
        </w:rPr>
        <w:t>　　【儿童用药】未进行此项实验且无可靠参考文献。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textAlignment w:val="baseline"/>
        <w:rPr>
          <w:rFonts w:hint="eastAsia" w:ascii="微软雅黑" w:hAnsi="微软雅黑" w:eastAsia="微软雅黑" w:cs="微软雅黑"/>
          <w:i w:val="0"/>
          <w:iCs w:val="0"/>
          <w:caps w:val="0"/>
          <w:color w:val="646464"/>
          <w:spacing w:val="0"/>
          <w:sz w:val="27"/>
          <w:szCs w:val="27"/>
        </w:rPr>
      </w:pPr>
      <w:r>
        <w:rPr>
          <w:rFonts w:hint="eastAsia" w:ascii="微软雅黑" w:hAnsi="微软雅黑" w:eastAsia="微软雅黑" w:cs="微软雅黑"/>
          <w:i w:val="0"/>
          <w:iCs w:val="0"/>
          <w:caps w:val="0"/>
          <w:color w:val="646464"/>
          <w:spacing w:val="0"/>
          <w:sz w:val="27"/>
          <w:szCs w:val="27"/>
          <w:bdr w:val="none" w:color="auto" w:sz="0" w:space="0"/>
          <w:shd w:val="clear" w:fill="FFFFFF"/>
          <w:vertAlign w:val="baseline"/>
        </w:rPr>
        <w:t>　　【老年用药】未进行此项实验且无可靠参考文献。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textAlignment w:val="baseline"/>
        <w:rPr>
          <w:rFonts w:hint="eastAsia" w:ascii="微软雅黑" w:hAnsi="微软雅黑" w:eastAsia="微软雅黑" w:cs="微软雅黑"/>
          <w:i w:val="0"/>
          <w:iCs w:val="0"/>
          <w:caps w:val="0"/>
          <w:color w:val="646464"/>
          <w:spacing w:val="0"/>
          <w:sz w:val="27"/>
          <w:szCs w:val="27"/>
        </w:rPr>
      </w:pPr>
      <w:r>
        <w:rPr>
          <w:rFonts w:hint="eastAsia" w:ascii="微软雅黑" w:hAnsi="微软雅黑" w:eastAsia="微软雅黑" w:cs="微软雅黑"/>
          <w:i w:val="0"/>
          <w:iCs w:val="0"/>
          <w:caps w:val="0"/>
          <w:color w:val="646464"/>
          <w:spacing w:val="0"/>
          <w:sz w:val="27"/>
          <w:szCs w:val="27"/>
          <w:bdr w:val="none" w:color="auto" w:sz="0" w:space="0"/>
          <w:shd w:val="clear" w:fill="FFFFFF"/>
          <w:vertAlign w:val="baseline"/>
        </w:rPr>
        <w:t>　　【药物相互作用】本品不宜与血管收缩药，蛋白水解酶或含酒精溶剂的注射液混合使用。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textAlignment w:val="baseline"/>
        <w:rPr>
          <w:rFonts w:hint="eastAsia" w:ascii="微软雅黑" w:hAnsi="微软雅黑" w:eastAsia="微软雅黑" w:cs="微软雅黑"/>
          <w:i w:val="0"/>
          <w:iCs w:val="0"/>
          <w:caps w:val="0"/>
          <w:color w:val="646464"/>
          <w:spacing w:val="0"/>
          <w:sz w:val="27"/>
          <w:szCs w:val="27"/>
        </w:rPr>
      </w:pPr>
      <w:r>
        <w:rPr>
          <w:rFonts w:hint="eastAsia" w:ascii="微软雅黑" w:hAnsi="微软雅黑" w:eastAsia="微软雅黑" w:cs="微软雅黑"/>
          <w:i w:val="0"/>
          <w:iCs w:val="0"/>
          <w:caps w:val="0"/>
          <w:color w:val="646464"/>
          <w:spacing w:val="0"/>
          <w:sz w:val="27"/>
          <w:szCs w:val="27"/>
          <w:bdr w:val="none" w:color="auto" w:sz="0" w:space="0"/>
          <w:shd w:val="clear" w:fill="FFFFFF"/>
          <w:vertAlign w:val="baseline"/>
        </w:rPr>
        <w:t>　　【药物过量】因本品有高渗作用，过量注射时，可造成脱水、机体循环负荷增加、充血性心力衰竭和肺水肿。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textAlignment w:val="baseline"/>
        <w:rPr>
          <w:rFonts w:hint="eastAsia" w:ascii="微软雅黑" w:hAnsi="微软雅黑" w:eastAsia="微软雅黑" w:cs="微软雅黑"/>
          <w:i w:val="0"/>
          <w:iCs w:val="0"/>
          <w:caps w:val="0"/>
          <w:color w:val="646464"/>
          <w:spacing w:val="0"/>
          <w:sz w:val="27"/>
          <w:szCs w:val="27"/>
        </w:rPr>
      </w:pPr>
      <w:r>
        <w:rPr>
          <w:rFonts w:hint="eastAsia" w:ascii="微软雅黑" w:hAnsi="微软雅黑" w:eastAsia="微软雅黑" w:cs="微软雅黑"/>
          <w:i w:val="0"/>
          <w:iCs w:val="0"/>
          <w:caps w:val="0"/>
          <w:color w:val="646464"/>
          <w:spacing w:val="0"/>
          <w:sz w:val="27"/>
          <w:szCs w:val="27"/>
          <w:bdr w:val="none" w:color="auto" w:sz="0" w:space="0"/>
          <w:shd w:val="clear" w:fill="FFFFFF"/>
          <w:vertAlign w:val="baseline"/>
        </w:rPr>
        <w:t>　　【贮藏】20至25℃保存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textAlignment w:val="baseline"/>
        <w:rPr>
          <w:rFonts w:hint="eastAsia" w:ascii="微软雅黑" w:hAnsi="微软雅黑" w:eastAsia="微软雅黑" w:cs="微软雅黑"/>
          <w:i w:val="0"/>
          <w:iCs w:val="0"/>
          <w:caps w:val="0"/>
          <w:color w:val="646464"/>
          <w:spacing w:val="0"/>
          <w:sz w:val="27"/>
          <w:szCs w:val="27"/>
        </w:rPr>
      </w:pPr>
      <w:r>
        <w:rPr>
          <w:rFonts w:hint="eastAsia" w:ascii="微软雅黑" w:hAnsi="微软雅黑" w:eastAsia="微软雅黑" w:cs="微软雅黑"/>
          <w:i w:val="0"/>
          <w:iCs w:val="0"/>
          <w:caps w:val="0"/>
          <w:color w:val="646464"/>
          <w:spacing w:val="0"/>
          <w:sz w:val="27"/>
          <w:szCs w:val="27"/>
          <w:bdr w:val="none" w:color="auto" w:sz="0" w:space="0"/>
          <w:shd w:val="clear" w:fill="FFFFFF"/>
          <w:vertAlign w:val="baseline"/>
        </w:rPr>
        <w:t>　　【包装】玻璃瓶装，每盒1瓶。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textAlignment w:val="baseline"/>
        <w:rPr>
          <w:rFonts w:hint="eastAsia" w:ascii="微软雅黑" w:hAnsi="微软雅黑" w:eastAsia="微软雅黑" w:cs="微软雅黑"/>
          <w:i w:val="0"/>
          <w:iCs w:val="0"/>
          <w:caps w:val="0"/>
          <w:color w:val="646464"/>
          <w:spacing w:val="0"/>
          <w:sz w:val="27"/>
          <w:szCs w:val="27"/>
        </w:rPr>
      </w:pPr>
      <w:r>
        <w:rPr>
          <w:rFonts w:hint="eastAsia" w:ascii="微软雅黑" w:hAnsi="微软雅黑" w:eastAsia="微软雅黑" w:cs="微软雅黑"/>
          <w:i w:val="0"/>
          <w:iCs w:val="0"/>
          <w:caps w:val="0"/>
          <w:color w:val="646464"/>
          <w:spacing w:val="0"/>
          <w:sz w:val="27"/>
          <w:szCs w:val="27"/>
          <w:bdr w:val="none" w:color="auto" w:sz="0" w:space="0"/>
          <w:shd w:val="clear" w:fill="FFFFFF"/>
          <w:vertAlign w:val="baseline"/>
        </w:rPr>
        <w:t>　　【有 效 期】36个月(30℃以下保存)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40"/>
        <w:textAlignment w:val="baseline"/>
        <w:rPr>
          <w:rFonts w:hint="eastAsia" w:ascii="微软雅黑" w:hAnsi="微软雅黑" w:eastAsia="微软雅黑" w:cs="微软雅黑"/>
          <w:i w:val="0"/>
          <w:iCs w:val="0"/>
          <w:caps w:val="0"/>
          <w:color w:val="646464"/>
          <w:spacing w:val="0"/>
          <w:sz w:val="27"/>
          <w:szCs w:val="27"/>
          <w:bdr w:val="none" w:color="auto" w:sz="0" w:space="0"/>
          <w:shd w:val="clear" w:fill="FFFFFF"/>
          <w:vertAlign w:val="baseline"/>
        </w:rPr>
      </w:pPr>
      <w:r>
        <w:rPr>
          <w:rFonts w:hint="eastAsia" w:ascii="微软雅黑" w:hAnsi="微软雅黑" w:eastAsia="微软雅黑" w:cs="微软雅黑"/>
          <w:i w:val="0"/>
          <w:iCs w:val="0"/>
          <w:caps w:val="0"/>
          <w:color w:val="646464"/>
          <w:spacing w:val="0"/>
          <w:sz w:val="27"/>
          <w:szCs w:val="27"/>
          <w:bdr w:val="none" w:color="auto" w:sz="0" w:space="0"/>
          <w:shd w:val="clear" w:fill="FFFFFF"/>
          <w:vertAlign w:val="baseline"/>
        </w:rPr>
        <w:t>【注册证号】注册证号S20190035</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40"/>
        <w:textAlignment w:val="baseline"/>
        <w:rPr>
          <w:rFonts w:hint="eastAsia" w:ascii="微软雅黑" w:hAnsi="微软雅黑" w:eastAsia="微软雅黑" w:cs="微软雅黑"/>
          <w:i w:val="0"/>
          <w:iCs w:val="0"/>
          <w:caps w:val="0"/>
          <w:color w:val="646464"/>
          <w:spacing w:val="0"/>
          <w:sz w:val="27"/>
          <w:szCs w:val="27"/>
        </w:rPr>
      </w:pPr>
      <w:bookmarkStart w:id="0" w:name="_GoBack"/>
      <w:bookmarkEnd w:id="0"/>
      <w:r>
        <w:rPr>
          <w:rFonts w:hint="eastAsia" w:ascii="微软雅黑" w:hAnsi="微软雅黑" w:eastAsia="微软雅黑" w:cs="微软雅黑"/>
          <w:i w:val="0"/>
          <w:iCs w:val="0"/>
          <w:caps w:val="0"/>
          <w:color w:val="646464"/>
          <w:spacing w:val="0"/>
          <w:sz w:val="27"/>
          <w:szCs w:val="27"/>
          <w:bdr w:val="none" w:color="auto" w:sz="0" w:space="0"/>
          <w:shd w:val="clear" w:fill="FFFFFF"/>
          <w:vertAlign w:val="baseline"/>
        </w:rPr>
        <w:t>【生产企业】美国贝林CSL Behring L.L .C.</w:t>
      </w:r>
    </w:p>
    <w:p/>
    <w:sectPr>
      <w:pgSz w:w="11906" w:h="16838"/>
      <w:pgMar w:top="1440" w:right="1808" w:bottom="1440" w:left="1752"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3DC4F2C"/>
    <w:rsid w:val="2BC53069"/>
    <w:rsid w:val="63DC4F2C"/>
    <w:rsid w:val="664632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2021-09-09T01:50:00Z</dcterms:created>
  <dc:creator>Nicky</dc:creator>
  <cp:lastModifiedBy>Nicky</cp:lastModifiedBy>
  <dcterms:modified xsi:type="dcterms:W3CDTF">2021-09-09T01:50:57Z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26AEED17F9B14CA099461F9018D4AD7C</vt:lpwstr>
  </property>
</Properties>
</file>